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8C94" w14:textId="77777777" w:rsidR="00A77286" w:rsidRPr="008549FE" w:rsidRDefault="00A77286" w:rsidP="00A77286">
      <w:pPr>
        <w:kinsoku w:val="0"/>
        <w:overflowPunct w:val="0"/>
        <w:autoSpaceDE w:val="0"/>
        <w:autoSpaceDN w:val="0"/>
        <w:adjustRightInd w:val="0"/>
        <w:spacing w:before="197"/>
        <w:ind w:left="700" w:right="371"/>
        <w:contextualSpacing/>
        <w:jc w:val="center"/>
        <w:rPr>
          <w:rFonts w:ascii="Arial" w:eastAsia="Times New Roman" w:hAnsi="Arial" w:cs="Arial"/>
          <w:b/>
          <w:bCs/>
          <w:i/>
          <w:iCs/>
          <w:color w:val="1F618E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1F618E"/>
          <w:sz w:val="28"/>
          <w:szCs w:val="28"/>
          <w:lang w:eastAsia="es-ES"/>
        </w:rPr>
        <w:t>III Congreso Internacional del CELPYC</w:t>
      </w:r>
    </w:p>
    <w:p w14:paraId="6117D3DE" w14:textId="77777777" w:rsidR="00A77286" w:rsidRDefault="00A77286" w:rsidP="00A77286">
      <w:pPr>
        <w:kinsoku w:val="0"/>
        <w:overflowPunct w:val="0"/>
        <w:autoSpaceDE w:val="0"/>
        <w:autoSpaceDN w:val="0"/>
        <w:adjustRightInd w:val="0"/>
        <w:spacing w:before="197"/>
        <w:ind w:left="700" w:right="371"/>
        <w:contextualSpacing/>
        <w:jc w:val="center"/>
        <w:rPr>
          <w:rFonts w:ascii="Trebuchet MS" w:eastAsia="Times New Roman" w:hAnsi="Trebuchet MS" w:cs="Trebuchet MS"/>
          <w:b/>
          <w:bCs/>
          <w:i/>
          <w:iCs/>
          <w:color w:val="1F618E"/>
          <w:sz w:val="28"/>
          <w:szCs w:val="28"/>
          <w:lang w:eastAsia="es-ES"/>
        </w:rPr>
      </w:pPr>
      <w:r w:rsidRPr="00400E03">
        <w:rPr>
          <w:rFonts w:ascii="Trebuchet MS" w:eastAsia="Times New Roman" w:hAnsi="Trebuchet MS" w:cs="Trebuchet MS"/>
          <w:b/>
          <w:bCs/>
          <w:i/>
          <w:iCs/>
          <w:color w:val="1F618E"/>
          <w:sz w:val="28"/>
          <w:szCs w:val="28"/>
          <w:lang w:eastAsia="es-ES"/>
        </w:rPr>
        <w:t>Círculo de estudios de las literaturas picaresca y celestinesca</w:t>
      </w:r>
    </w:p>
    <w:p w14:paraId="6A27DE23" w14:textId="77777777" w:rsidR="00A77286" w:rsidRDefault="00A77286" w:rsidP="00A77286">
      <w:pPr>
        <w:kinsoku w:val="0"/>
        <w:overflowPunct w:val="0"/>
        <w:autoSpaceDE w:val="0"/>
        <w:autoSpaceDN w:val="0"/>
        <w:adjustRightInd w:val="0"/>
        <w:spacing w:before="197"/>
        <w:ind w:left="700" w:right="371"/>
        <w:contextualSpacing/>
        <w:jc w:val="center"/>
        <w:rPr>
          <w:rFonts w:ascii="Trebuchet MS" w:eastAsia="Times New Roman" w:hAnsi="Trebuchet MS" w:cs="Trebuchet MS"/>
          <w:b/>
          <w:bCs/>
          <w:i/>
          <w:iCs/>
          <w:color w:val="1F618E"/>
          <w:sz w:val="28"/>
          <w:szCs w:val="28"/>
          <w:lang w:eastAsia="es-ES"/>
        </w:rPr>
      </w:pPr>
    </w:p>
    <w:p w14:paraId="1681D389" w14:textId="77777777" w:rsidR="00A77286" w:rsidRPr="004F50E3" w:rsidRDefault="00A77286" w:rsidP="00A77286">
      <w:pPr>
        <w:kinsoku w:val="0"/>
        <w:overflowPunct w:val="0"/>
        <w:autoSpaceDE w:val="0"/>
        <w:autoSpaceDN w:val="0"/>
        <w:adjustRightInd w:val="0"/>
        <w:spacing w:before="197"/>
        <w:ind w:left="700" w:right="371"/>
        <w:contextualSpacing/>
        <w:jc w:val="center"/>
        <w:rPr>
          <w:rFonts w:ascii="Trebuchet MS" w:eastAsia="Times New Roman" w:hAnsi="Trebuchet MS" w:cs="Trebuchet MS"/>
          <w:b/>
          <w:bCs/>
          <w:color w:val="1F618E"/>
          <w:sz w:val="24"/>
          <w:szCs w:val="24"/>
          <w:lang w:eastAsia="es-ES"/>
        </w:rPr>
      </w:pPr>
      <w:r w:rsidRPr="004F50E3">
        <w:rPr>
          <w:rFonts w:ascii="Trebuchet MS" w:eastAsia="Times New Roman" w:hAnsi="Trebuchet MS" w:cs="Trebuchet MS"/>
          <w:b/>
          <w:bCs/>
          <w:color w:val="1F618E"/>
          <w:sz w:val="24"/>
          <w:szCs w:val="24"/>
          <w:lang w:eastAsia="es-ES"/>
        </w:rPr>
        <w:t xml:space="preserve"> Departamento de Filología. Universidad de Cantabria</w:t>
      </w:r>
    </w:p>
    <w:p w14:paraId="0D9CFB0D" w14:textId="77777777" w:rsidR="00A77286" w:rsidRPr="00400E03" w:rsidRDefault="00A77286" w:rsidP="00A77286">
      <w:pPr>
        <w:kinsoku w:val="0"/>
        <w:overflowPunct w:val="0"/>
        <w:autoSpaceDE w:val="0"/>
        <w:autoSpaceDN w:val="0"/>
        <w:adjustRightInd w:val="0"/>
        <w:spacing w:before="197"/>
        <w:ind w:left="700" w:right="371"/>
        <w:contextualSpacing/>
        <w:jc w:val="center"/>
        <w:rPr>
          <w:rFonts w:ascii="Trebuchet MS" w:eastAsia="Times New Roman" w:hAnsi="Trebuchet MS" w:cs="Trebuchet MS"/>
          <w:b/>
          <w:bCs/>
          <w:color w:val="1F618E"/>
          <w:sz w:val="24"/>
          <w:szCs w:val="24"/>
          <w:lang w:eastAsia="es-ES"/>
        </w:rPr>
      </w:pPr>
      <w:r w:rsidRPr="004F50E3">
        <w:rPr>
          <w:rFonts w:ascii="Trebuchet MS" w:eastAsia="Times New Roman" w:hAnsi="Trebuchet MS" w:cs="Trebuchet MS"/>
          <w:b/>
          <w:bCs/>
          <w:i/>
          <w:iCs/>
          <w:color w:val="1F618E"/>
          <w:sz w:val="24"/>
          <w:szCs w:val="24"/>
          <w:lang w:eastAsia="es-ES"/>
        </w:rPr>
        <w:t>18,19 y 20 de junio de 2025.</w:t>
      </w:r>
    </w:p>
    <w:p w14:paraId="5A57D1C0" w14:textId="77777777" w:rsidR="00A77286" w:rsidRDefault="00A77286" w:rsidP="00A77286">
      <w:pPr>
        <w:contextualSpacing/>
      </w:pPr>
    </w:p>
    <w:p w14:paraId="76169D25" w14:textId="77777777" w:rsidR="00A77286" w:rsidRDefault="00A77286" w:rsidP="00A77286">
      <w:pPr>
        <w:pStyle w:val="Ttulo1"/>
        <w:spacing w:before="60"/>
        <w:ind w:left="425" w:right="1340"/>
        <w:contextualSpacing/>
        <w:jc w:val="center"/>
        <w:rPr>
          <w:spacing w:val="-2"/>
          <w:lang w:val="es-ES"/>
        </w:rPr>
      </w:pPr>
    </w:p>
    <w:p w14:paraId="5C9791F2" w14:textId="57C0CF73" w:rsidR="00A77286" w:rsidRPr="002F7695" w:rsidRDefault="00A77286" w:rsidP="00A77286">
      <w:pPr>
        <w:contextualSpacing/>
        <w:jc w:val="right"/>
        <w:rPr>
          <w:rFonts w:ascii="Garamond" w:hAnsi="Garamond"/>
          <w:sz w:val="24"/>
          <w:szCs w:val="24"/>
        </w:rPr>
      </w:pPr>
      <w:r w:rsidRPr="002F7695">
        <w:rPr>
          <w:rFonts w:ascii="Garamond" w:hAnsi="Garamond"/>
          <w:sz w:val="24"/>
          <w:szCs w:val="24"/>
        </w:rPr>
        <w:t xml:space="preserve">Santander, </w:t>
      </w:r>
      <w:r w:rsidRPr="002F7695">
        <w:rPr>
          <w:rFonts w:ascii="Garamond" w:hAnsi="Garamond"/>
          <w:sz w:val="24"/>
          <w:szCs w:val="24"/>
        </w:rPr>
        <w:t>25</w:t>
      </w:r>
      <w:r w:rsidRPr="002F7695">
        <w:rPr>
          <w:rFonts w:ascii="Garamond" w:hAnsi="Garamond"/>
          <w:sz w:val="24"/>
          <w:szCs w:val="24"/>
        </w:rPr>
        <w:t xml:space="preserve"> de marzo de 2025</w:t>
      </w:r>
    </w:p>
    <w:p w14:paraId="1C422999" w14:textId="77777777" w:rsidR="00A77286" w:rsidRDefault="00A77286" w:rsidP="00EB3426">
      <w:pPr>
        <w:jc w:val="both"/>
        <w:rPr>
          <w:rFonts w:ascii="Garamond" w:hAnsi="Garamond"/>
          <w:sz w:val="24"/>
          <w:szCs w:val="24"/>
        </w:rPr>
      </w:pPr>
    </w:p>
    <w:p w14:paraId="011595F9" w14:textId="371FF886" w:rsidR="00EB3426" w:rsidRDefault="001E6E01" w:rsidP="002F7695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Según lo establecido en la primera circular, e</w:t>
      </w:r>
      <w:r w:rsidR="00EB3426">
        <w:rPr>
          <w:rFonts w:ascii="Garamond" w:hAnsi="Garamond"/>
          <w:sz w:val="24"/>
          <w:szCs w:val="24"/>
        </w:rPr>
        <w:t xml:space="preserve">l Departamento de Filología de la Universidad de Cantabria y el GIR “LED: Letras en Diacronía” </w:t>
      </w:r>
      <w:r w:rsidR="008C4E31">
        <w:rPr>
          <w:rFonts w:ascii="Garamond" w:hAnsi="Garamond"/>
          <w:sz w:val="24"/>
          <w:szCs w:val="24"/>
        </w:rPr>
        <w:t>convocan</w:t>
      </w:r>
      <w:r w:rsidR="00EB3426">
        <w:rPr>
          <w:rFonts w:ascii="Garamond" w:hAnsi="Garamond"/>
          <w:sz w:val="24"/>
          <w:szCs w:val="24"/>
        </w:rPr>
        <w:t xml:space="preserve"> el III Congreso Internacional del CELPYC (Círculo de Estudios de la Literatura Picaresca y Celestinesca). El encuentro se organizará en tres jornadas de trabajo el 18, 19 y 20 de junio, 2025. Asimismo, por el momento, están confirmadas las conferencias plenarias de Reyes Coll Telechea (UMass Boston), Vicente Pérez de León (Universidad de Glasgow) y Julio Vélez Sainz (Universidad Complutense de Madrid).  </w:t>
      </w:r>
    </w:p>
    <w:p w14:paraId="5DC36ADB" w14:textId="4061D05D" w:rsidR="00EB3426" w:rsidRDefault="00EB3426" w:rsidP="00EB3426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0640" distB="59690" distL="109220" distR="128270" simplePos="0" relativeHeight="251659264" behindDoc="0" locked="0" layoutInCell="0" allowOverlap="1" wp14:anchorId="24AA279B" wp14:editId="2EBE39AE">
                <wp:simplePos x="0" y="0"/>
                <wp:positionH relativeFrom="column">
                  <wp:posOffset>113665</wp:posOffset>
                </wp:positionH>
                <wp:positionV relativeFrom="paragraph">
                  <wp:posOffset>128905</wp:posOffset>
                </wp:positionV>
                <wp:extent cx="1695450" cy="285750"/>
                <wp:effectExtent l="5080" t="5080" r="5080" b="5080"/>
                <wp:wrapSquare wrapText="bothSides"/>
                <wp:docPr id="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60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2D44E2" w14:textId="042EBA65" w:rsidR="00EB3426" w:rsidRDefault="008C4988" w:rsidP="00EB3426">
                            <w:pPr>
                              <w:pStyle w:val="FrameContents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Concurso literario</w:t>
                            </w:r>
                          </w:p>
                          <w:p w14:paraId="79B853E3" w14:textId="77777777" w:rsidR="00EB3426" w:rsidRDefault="00EB3426" w:rsidP="00EB342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A279B" id="Cuadro de texto 2" o:spid="_x0000_s1026" style="position:absolute;left:0;text-align:left;margin-left:8.95pt;margin-top:10.15pt;width:133.5pt;height:22.5pt;z-index:251659264;visibility:visible;mso-wrap-style:square;mso-wrap-distance-left:8.6pt;mso-wrap-distance-top:3.2pt;mso-wrap-distance-right:10.1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" o:allowincell="f" strokecolor="white">
                <v:textbox>
                  <w:txbxContent>
                    <w:p w14:paraId="0E2D44E2" w14:textId="042EBA65" w:rsidR="00EB3426" w:rsidRDefault="008C4988" w:rsidP="00EB3426">
                      <w:pPr>
                        <w:pStyle w:val="FrameContents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Concurso literario</w:t>
                      </w:r>
                    </w:p>
                    <w:p w14:paraId="79B853E3" w14:textId="77777777" w:rsidR="00EB3426" w:rsidRDefault="00EB3426" w:rsidP="00EB3426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Se llevará a cabo un concurso literario en coordinación con el Aula de Letras, cuyo premio se entregará en las fechas del congreso y cuyas bases se compartirán en la segunda circular.</w:t>
      </w:r>
      <w:r w:rsidR="00DD2652">
        <w:rPr>
          <w:rFonts w:ascii="Garamond" w:hAnsi="Garamond"/>
          <w:sz w:val="24"/>
          <w:szCs w:val="24"/>
        </w:rPr>
        <w:t xml:space="preserve"> La información del mismo está disponible en </w:t>
      </w:r>
      <w:hyperlink r:id="rId6" w:history="1">
        <w:r w:rsidR="009D3718" w:rsidRPr="00F00CDD">
          <w:rPr>
            <w:rStyle w:val="Hipervnculo"/>
            <w:rFonts w:ascii="Garamond" w:hAnsi="Garamond"/>
            <w:sz w:val="24"/>
            <w:szCs w:val="24"/>
          </w:rPr>
          <w:t>https://iiicongresocelpyc.unican.es/concurso-literario/</w:t>
        </w:r>
      </w:hyperlink>
      <w:r w:rsidR="009D3718">
        <w:rPr>
          <w:rFonts w:ascii="Garamond" w:hAnsi="Garamond"/>
          <w:sz w:val="24"/>
          <w:szCs w:val="24"/>
        </w:rPr>
        <w:t xml:space="preserve">. </w:t>
      </w:r>
    </w:p>
    <w:p w14:paraId="3F561AB4" w14:textId="77777777" w:rsidR="00EB3426" w:rsidRDefault="00EB3426" w:rsidP="00EB3426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480E2DE3" w14:textId="77777777" w:rsidR="00B823FA" w:rsidRDefault="00EB3426" w:rsidP="00B823FA">
      <w:pPr>
        <w:spacing w:line="240" w:lineRule="auto"/>
        <w:contextualSpacing/>
        <w:rPr>
          <w:rStyle w:val="Hipervnculo"/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0640" distB="59690" distL="109220" distR="127635" simplePos="0" relativeHeight="251660288" behindDoc="0" locked="0" layoutInCell="0" allowOverlap="1" wp14:anchorId="52B78FEB" wp14:editId="6718FDB0">
                <wp:simplePos x="0" y="0"/>
                <wp:positionH relativeFrom="column">
                  <wp:posOffset>88265</wp:posOffset>
                </wp:positionH>
                <wp:positionV relativeFrom="paragraph">
                  <wp:posOffset>10160</wp:posOffset>
                </wp:positionV>
                <wp:extent cx="1752600" cy="438150"/>
                <wp:effectExtent l="5080" t="5080" r="5080" b="508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480" cy="43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D67346" w14:textId="77777777" w:rsidR="00EB3426" w:rsidRDefault="00EB3426" w:rsidP="00EB3426">
                            <w:pPr>
                              <w:pStyle w:val="FrameContents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Cuotas de inscripción</w:t>
                            </w:r>
                          </w:p>
                          <w:p w14:paraId="6C10EE16" w14:textId="77777777" w:rsidR="00EB3426" w:rsidRDefault="00EB3426" w:rsidP="00EB342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B78FEB" id="_x0000_s1027" style="position:absolute;margin-left:6.95pt;margin-top:.8pt;width:138pt;height:34.5pt;z-index:251660288;visibility:visible;mso-wrap-style:square;mso-wrap-distance-left:8.6pt;mso-wrap-distance-top:3.2pt;mso-wrap-distance-right:10.05pt;mso-wrap-distance-bottom:4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" o:allowincell="f" strokecolor="white">
                <v:textbox>
                  <w:txbxContent>
                    <w:p w14:paraId="06D67346" w14:textId="77777777" w:rsidR="00EB3426" w:rsidRDefault="00EB3426" w:rsidP="00EB3426">
                      <w:pPr>
                        <w:pStyle w:val="FrameContents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Cuotas de inscripción</w:t>
                      </w:r>
                    </w:p>
                    <w:p w14:paraId="6C10EE16" w14:textId="77777777" w:rsidR="00EB3426" w:rsidRDefault="00EB3426" w:rsidP="00EB3426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3718">
        <w:rPr>
          <w:rFonts w:ascii="Garamond" w:hAnsi="Garamond"/>
          <w:sz w:val="24"/>
          <w:szCs w:val="24"/>
        </w:rPr>
        <w:t xml:space="preserve">Es necesario realizar el ingreso de la cuota de inscripción a través de la siguiente </w:t>
      </w:r>
      <w:hyperlink r:id="rId7" w:history="1">
        <w:r w:rsidR="009D3718" w:rsidRPr="006359E2">
          <w:rPr>
            <w:rStyle w:val="Hipervnculo"/>
            <w:rFonts w:ascii="Garamond" w:hAnsi="Garamond"/>
            <w:sz w:val="24"/>
            <w:szCs w:val="24"/>
          </w:rPr>
          <w:t>pasarela</w:t>
        </w:r>
      </w:hyperlink>
      <w:r w:rsidR="009D3718">
        <w:rPr>
          <w:rFonts w:ascii="Garamond" w:hAnsi="Garamond"/>
          <w:sz w:val="24"/>
          <w:szCs w:val="24"/>
        </w:rPr>
        <w:t xml:space="preserve"> </w:t>
      </w:r>
      <w:r w:rsidR="006359E2">
        <w:rPr>
          <w:rFonts w:ascii="Garamond" w:hAnsi="Garamond"/>
          <w:sz w:val="24"/>
          <w:szCs w:val="24"/>
        </w:rPr>
        <w:t xml:space="preserve">antes del 1 de mayo para formalizar la matrícula y enviar un correo con el justificante </w:t>
      </w:r>
      <w:r w:rsidR="00B823FA">
        <w:rPr>
          <w:rFonts w:ascii="Garamond" w:hAnsi="Garamond"/>
          <w:sz w:val="24"/>
          <w:szCs w:val="24"/>
        </w:rPr>
        <w:t xml:space="preserve">a </w:t>
      </w:r>
      <w:hyperlink r:id="rId8">
        <w:r w:rsidR="00B823FA">
          <w:rPr>
            <w:rStyle w:val="Hipervnculo"/>
            <w:rFonts w:ascii="Garamond" w:hAnsi="Garamond"/>
            <w:sz w:val="24"/>
            <w:szCs w:val="24"/>
          </w:rPr>
          <w:t>congresocelpyc@unican.es</w:t>
        </w:r>
      </w:hyperlink>
    </w:p>
    <w:p w14:paraId="56A3CF6F" w14:textId="63032A0A" w:rsidR="00806B3F" w:rsidRDefault="00806B3F" w:rsidP="00EB3426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0BB6C9B4" w14:textId="1841EF0A" w:rsidR="00EB3426" w:rsidRDefault="00EB3426" w:rsidP="00EB3426">
      <w:pPr>
        <w:jc w:val="both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0005" distB="69850" distL="109220" distR="128270" simplePos="0" relativeHeight="251661312" behindDoc="0" locked="0" layoutInCell="0" allowOverlap="1" wp14:anchorId="44C9488A" wp14:editId="78F0BCC8">
                <wp:simplePos x="0" y="0"/>
                <wp:positionH relativeFrom="column">
                  <wp:posOffset>15240</wp:posOffset>
                </wp:positionH>
                <wp:positionV relativeFrom="paragraph">
                  <wp:posOffset>49530</wp:posOffset>
                </wp:positionV>
                <wp:extent cx="1885950" cy="409575"/>
                <wp:effectExtent l="5080" t="5715" r="5080" b="444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3D4A6E" w14:textId="77777777" w:rsidR="00EB3426" w:rsidRDefault="00EB3426" w:rsidP="00EB3426">
                            <w:pPr>
                              <w:pStyle w:val="FrameContents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Publicación</w:t>
                            </w:r>
                          </w:p>
                          <w:p w14:paraId="385D2871" w14:textId="77777777" w:rsidR="00EB3426" w:rsidRDefault="00EB3426" w:rsidP="00EB342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9488A" id="_x0000_s1028" style="position:absolute;left:0;text-align:left;margin-left:1.2pt;margin-top:3.9pt;width:148.5pt;height:32.25pt;z-index:251661312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" o:allowincell="f" strokecolor="white">
                <v:textbox>
                  <w:txbxContent>
                    <w:p w14:paraId="463D4A6E" w14:textId="77777777" w:rsidR="00EB3426" w:rsidRDefault="00EB3426" w:rsidP="00EB3426">
                      <w:pPr>
                        <w:pStyle w:val="FrameContents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Publicación</w:t>
                      </w:r>
                    </w:p>
                    <w:p w14:paraId="385D2871" w14:textId="77777777" w:rsidR="00EB3426" w:rsidRDefault="00EB3426" w:rsidP="00EB3426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E3FCD">
        <w:rPr>
          <w:rFonts w:ascii="Garamond" w:hAnsi="Garamond"/>
          <w:sz w:val="24"/>
          <w:szCs w:val="24"/>
        </w:rPr>
        <w:t xml:space="preserve">Los trabajos seleccionados se publicarán en un volumen monográfico del </w:t>
      </w:r>
      <w:r w:rsidR="000E3FCD">
        <w:rPr>
          <w:rFonts w:ascii="Garamond" w:hAnsi="Garamond"/>
          <w:i/>
          <w:iCs/>
          <w:sz w:val="24"/>
          <w:szCs w:val="24"/>
        </w:rPr>
        <w:t>Boletín de la Biblioteca Menéndez Pelayo</w:t>
      </w:r>
      <w:r w:rsidR="00992FDF">
        <w:rPr>
          <w:rFonts w:ascii="Garamond" w:hAnsi="Garamond"/>
          <w:i/>
          <w:iCs/>
          <w:sz w:val="24"/>
          <w:szCs w:val="24"/>
        </w:rPr>
        <w:t xml:space="preserve"> </w:t>
      </w:r>
      <w:r w:rsidR="00992FDF">
        <w:rPr>
          <w:rFonts w:ascii="Garamond" w:hAnsi="Garamond"/>
          <w:sz w:val="24"/>
          <w:szCs w:val="24"/>
        </w:rPr>
        <w:t xml:space="preserve"> durante 2026 siguiendo los parámetros de calidad de la propia revista. </w:t>
      </w:r>
      <w:r w:rsidR="00DE2C15">
        <w:rPr>
          <w:rFonts w:ascii="Garamond" w:hAnsi="Garamond"/>
          <w:sz w:val="24"/>
          <w:szCs w:val="24"/>
        </w:rPr>
        <w:t xml:space="preserve">Los originales se presentarán terminados en septiembre de 2025 siguiendo las pautas de edición de la revista, que facilitaremos durante la celebración del evento. </w:t>
      </w:r>
    </w:p>
    <w:p w14:paraId="1D49CF97" w14:textId="5DCCE7BE" w:rsidR="002B3136" w:rsidRDefault="002B3136" w:rsidP="002B3136">
      <w:pPr>
        <w:jc w:val="both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0005" distB="69850" distL="109220" distR="128270" simplePos="0" relativeHeight="251664384" behindDoc="0" locked="0" layoutInCell="0" allowOverlap="1" wp14:anchorId="33AD9891" wp14:editId="25C2BBCF">
                <wp:simplePos x="0" y="0"/>
                <wp:positionH relativeFrom="column">
                  <wp:posOffset>15240</wp:posOffset>
                </wp:positionH>
                <wp:positionV relativeFrom="paragraph">
                  <wp:posOffset>49530</wp:posOffset>
                </wp:positionV>
                <wp:extent cx="1885950" cy="409575"/>
                <wp:effectExtent l="5080" t="5715" r="5080" b="4445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0F1003" w14:textId="2E4A3A47" w:rsidR="002B3136" w:rsidRDefault="002B3136" w:rsidP="002B3136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Programa social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D9891" id="_x0000_s1029" style="position:absolute;left:0;text-align:left;margin-left:1.2pt;margin-top:3.9pt;width:148.5pt;height:32.25pt;z-index:251664384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" o:allowincell="f" strokecolor="white">
                <v:textbox>
                  <w:txbxContent>
                    <w:p w14:paraId="4A0F1003" w14:textId="2E4A3A47" w:rsidR="002B3136" w:rsidRDefault="002B3136" w:rsidP="002B3136">
                      <w:pPr>
                        <w:pStyle w:val="FrameContents"/>
                        <w:jc w:val="center"/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Programa social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02FBC">
        <w:rPr>
          <w:rFonts w:ascii="Garamond" w:hAnsi="Garamond"/>
          <w:sz w:val="24"/>
          <w:szCs w:val="24"/>
        </w:rPr>
        <w:t>Durante el congreso se realizarán varias actividades culturales y sociales. Está prevista la visita al fondo a</w:t>
      </w:r>
      <w:r w:rsidR="00DE0A28">
        <w:rPr>
          <w:rFonts w:ascii="Garamond" w:hAnsi="Garamond"/>
          <w:sz w:val="24"/>
          <w:szCs w:val="24"/>
        </w:rPr>
        <w:t>n</w:t>
      </w:r>
      <w:r w:rsidR="00402FBC">
        <w:rPr>
          <w:rFonts w:ascii="Garamond" w:hAnsi="Garamond"/>
          <w:sz w:val="24"/>
          <w:szCs w:val="24"/>
        </w:rPr>
        <w:t>tiguo de la Biblioteca Central de Cantabria, una ruta li</w:t>
      </w:r>
      <w:r w:rsidR="00C34989">
        <w:rPr>
          <w:rFonts w:ascii="Garamond" w:hAnsi="Garamond"/>
          <w:sz w:val="24"/>
          <w:szCs w:val="24"/>
        </w:rPr>
        <w:t>t</w:t>
      </w:r>
      <w:r w:rsidR="00402FBC">
        <w:rPr>
          <w:rFonts w:ascii="Garamond" w:hAnsi="Garamond"/>
          <w:sz w:val="24"/>
          <w:szCs w:val="24"/>
        </w:rPr>
        <w:t>eraria por el Santander de Pereda y una visita guiada al MAS (Museo de Arte de Santander)</w:t>
      </w:r>
      <w:r w:rsidR="00C34989">
        <w:rPr>
          <w:rFonts w:ascii="Garamond" w:hAnsi="Garamond"/>
          <w:sz w:val="24"/>
          <w:szCs w:val="24"/>
        </w:rPr>
        <w:t xml:space="preserve">. Asimismo, la cena del congreso tendrá lugar el día 19 en el Centro Botín con un precio de 42 €. </w:t>
      </w:r>
      <w:r w:rsidR="00EC13A6">
        <w:rPr>
          <w:rFonts w:ascii="Garamond" w:hAnsi="Garamond"/>
          <w:sz w:val="24"/>
          <w:szCs w:val="24"/>
        </w:rPr>
        <w:t xml:space="preserve">Para poder participar es necesario inscribirse a través del </w:t>
      </w:r>
      <w:hyperlink r:id="rId9" w:history="1">
        <w:r w:rsidR="00EC13A6" w:rsidRPr="007250E8">
          <w:rPr>
            <w:rStyle w:val="Hipervnculo"/>
            <w:rFonts w:ascii="Garamond" w:hAnsi="Garamond"/>
            <w:sz w:val="24"/>
            <w:szCs w:val="24"/>
          </w:rPr>
          <w:t>formulario</w:t>
        </w:r>
      </w:hyperlink>
      <w:r w:rsidR="00EC13A6">
        <w:rPr>
          <w:rFonts w:ascii="Garamond" w:hAnsi="Garamond"/>
          <w:sz w:val="24"/>
          <w:szCs w:val="24"/>
        </w:rPr>
        <w:t xml:space="preserve">. </w:t>
      </w:r>
    </w:p>
    <w:p w14:paraId="6BBB6E57" w14:textId="00E1C137" w:rsidR="007250E8" w:rsidRDefault="007250E8" w:rsidP="007250E8">
      <w:pPr>
        <w:jc w:val="both"/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0005" distB="69850" distL="109220" distR="128270" simplePos="0" relativeHeight="251666432" behindDoc="0" locked="0" layoutInCell="0" allowOverlap="1" wp14:anchorId="1084E3A3" wp14:editId="3380C25B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2365200" cy="374400"/>
                <wp:effectExtent l="0" t="0" r="16510" b="26035"/>
                <wp:wrapSquare wrapText="bothSides"/>
                <wp:docPr id="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3A12A5" w14:textId="750C05FF" w:rsidR="007250E8" w:rsidRDefault="007250E8" w:rsidP="007250E8">
                            <w:pPr>
                              <w:pStyle w:val="FrameContents"/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Cuidados de personas dependientes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4E3A3" id="_x0000_s1030" style="position:absolute;left:0;text-align:left;margin-left:1.35pt;margin-top:3.95pt;width:186.25pt;height:29.5pt;z-index:251666432;visibility:visible;mso-wrap-style:square;mso-width-percent:0;mso-height-percent:0;mso-wrap-distance-left:8.6pt;mso-wrap-distance-top:3.15pt;mso-wrap-distance-right:10.1pt;mso-wrap-distance-bottom:5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" o:allowincell="f" strokecolor="white">
                <v:textbox>
                  <w:txbxContent>
                    <w:p w14:paraId="523A12A5" w14:textId="750C05FF" w:rsidR="007250E8" w:rsidRDefault="007250E8" w:rsidP="007250E8">
                      <w:pPr>
                        <w:pStyle w:val="FrameContents"/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Cuidados de personas dependientes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A pesar de las dificultades logísitcas que este tipo de servicio plantea, la organización del congreso quiere facilitar la asistencia de investigadores e investigadoras con personas dependientes a su cargo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Para poder prever conveniente</w:t>
      </w:r>
      <w:r w:rsidR="00B432BB">
        <w:rPr>
          <w:rFonts w:ascii="Garamond" w:hAnsi="Garamond"/>
          <w:sz w:val="24"/>
          <w:szCs w:val="24"/>
        </w:rPr>
        <w:t>mente</w:t>
      </w:r>
      <w:r w:rsidR="0030759F">
        <w:rPr>
          <w:rFonts w:ascii="Garamond" w:hAnsi="Garamond"/>
          <w:sz w:val="24"/>
          <w:szCs w:val="24"/>
        </w:rPr>
        <w:t xml:space="preserve"> cuáles serán las necesidades de las personas asistentes, es necesario rellenar el </w:t>
      </w:r>
      <w:hyperlink r:id="rId10" w:history="1">
        <w:r w:rsidR="0030759F" w:rsidRPr="00055B1D">
          <w:rPr>
            <w:rStyle w:val="Hipervnculo"/>
            <w:rFonts w:ascii="Garamond" w:hAnsi="Garamond"/>
            <w:sz w:val="24"/>
            <w:szCs w:val="24"/>
          </w:rPr>
          <w:t>cuestionario</w:t>
        </w:r>
      </w:hyperlink>
      <w:r w:rsidR="0030759F">
        <w:rPr>
          <w:rFonts w:ascii="Garamond" w:hAnsi="Garamond"/>
          <w:sz w:val="24"/>
          <w:szCs w:val="24"/>
        </w:rPr>
        <w:t xml:space="preserve"> antes del 1 de mayo de 2025. </w:t>
      </w:r>
      <w:r w:rsidR="006C5023">
        <w:rPr>
          <w:rFonts w:ascii="Garamond" w:hAnsi="Garamond"/>
          <w:sz w:val="24"/>
          <w:szCs w:val="24"/>
        </w:rPr>
        <w:t xml:space="preserve">En cualquier caso, </w:t>
      </w:r>
      <w:r w:rsidR="008D1FE7">
        <w:rPr>
          <w:rFonts w:ascii="Garamond" w:hAnsi="Garamond"/>
          <w:sz w:val="24"/>
          <w:szCs w:val="24"/>
        </w:rPr>
        <w:t>el costo de este servicio será asumido por la persona solicitante.</w:t>
      </w:r>
    </w:p>
    <w:p w14:paraId="0E4307B9" w14:textId="304304F0" w:rsidR="00724C60" w:rsidRDefault="00724C60" w:rsidP="00724C60">
      <w:pPr>
        <w:jc w:val="both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0005" distB="69850" distL="109220" distR="128270" simplePos="0" relativeHeight="251668480" behindDoc="0" locked="0" layoutInCell="0" allowOverlap="1" wp14:anchorId="3C8C0240" wp14:editId="623F1402">
                <wp:simplePos x="0" y="0"/>
                <wp:positionH relativeFrom="column">
                  <wp:posOffset>15240</wp:posOffset>
                </wp:positionH>
                <wp:positionV relativeFrom="paragraph">
                  <wp:posOffset>49530</wp:posOffset>
                </wp:positionV>
                <wp:extent cx="1885950" cy="409575"/>
                <wp:effectExtent l="5080" t="5715" r="5080" b="4445"/>
                <wp:wrapSquare wrapText="bothSides"/>
                <wp:docPr id="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82C0CE" w14:textId="4CB749BD" w:rsidR="00724C60" w:rsidRDefault="00724C60" w:rsidP="00724C60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Alojamiento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C0240" id="_x0000_s1031" style="position:absolute;left:0;text-align:left;margin-left:1.2pt;margin-top:3.9pt;width:148.5pt;height:32.25pt;z-index:251668480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" o:allowincell="f" strokecolor="white">
                <v:textbox>
                  <w:txbxContent>
                    <w:p w14:paraId="1A82C0CE" w14:textId="4CB749BD" w:rsidR="00724C60" w:rsidRDefault="00724C60" w:rsidP="00724C60">
                      <w:pPr>
                        <w:pStyle w:val="FrameContents"/>
                        <w:jc w:val="center"/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Alojamiento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E270C">
        <w:rPr>
          <w:rFonts w:ascii="Garamond" w:hAnsi="Garamond" w:cs="Helvetica"/>
          <w:color w:val="141412"/>
          <w:sz w:val="24"/>
          <w:szCs w:val="24"/>
        </w:rPr>
        <w:t>La o</w:t>
      </w:r>
      <w:r w:rsidR="00AB2630" w:rsidRPr="00270A08">
        <w:rPr>
          <w:rFonts w:ascii="Garamond" w:hAnsi="Garamond" w:cs="Helvetica"/>
          <w:color w:val="141412"/>
          <w:sz w:val="24"/>
          <w:szCs w:val="24"/>
        </w:rPr>
        <w:t xml:space="preserve">ferta hotelera de Santander es amplia, </w:t>
      </w:r>
      <w:r w:rsidR="001E270C">
        <w:rPr>
          <w:rFonts w:ascii="Garamond" w:hAnsi="Garamond" w:cs="Helvetica"/>
          <w:color w:val="141412"/>
          <w:sz w:val="24"/>
          <w:szCs w:val="24"/>
        </w:rPr>
        <w:t xml:space="preserve">no obstante, </w:t>
      </w:r>
      <w:r w:rsidR="00AB2630" w:rsidRPr="00270A08">
        <w:rPr>
          <w:rFonts w:ascii="Garamond" w:hAnsi="Garamond" w:cs="Helvetica"/>
          <w:color w:val="141412"/>
          <w:sz w:val="24"/>
          <w:szCs w:val="24"/>
        </w:rPr>
        <w:t xml:space="preserve">hemos llegado a un acuerdo con la residencia Micampus </w:t>
      </w:r>
      <w:r w:rsidR="00AB2630" w:rsidRPr="001E270C">
        <w:rPr>
          <w:rFonts w:ascii="Garamond" w:hAnsi="Garamond" w:cs="Helvetica"/>
          <w:color w:val="141412"/>
          <w:sz w:val="24"/>
          <w:szCs w:val="24"/>
        </w:rPr>
        <w:t xml:space="preserve">para ofrecer a los participantes en el congreso alojamiento en sus instalaciones a un precio de 45,83€ la habitación individual. Podrá encontrar más información en la </w:t>
      </w:r>
      <w:hyperlink r:id="rId11" w:history="1">
        <w:r w:rsidR="00AB2630" w:rsidRPr="001E270C">
          <w:rPr>
            <w:rStyle w:val="Hipervnculo"/>
            <w:rFonts w:ascii="Garamond" w:hAnsi="Garamond" w:cs="Helvetica"/>
            <w:sz w:val="24"/>
            <w:szCs w:val="24"/>
          </w:rPr>
          <w:t>página web</w:t>
        </w:r>
      </w:hyperlink>
      <w:r w:rsidR="00AB2630" w:rsidRPr="001E270C">
        <w:rPr>
          <w:rFonts w:ascii="Garamond" w:hAnsi="Garamond" w:cs="Helvetica"/>
          <w:color w:val="141412"/>
          <w:sz w:val="24"/>
          <w:szCs w:val="24"/>
        </w:rPr>
        <w:t xml:space="preserve"> sobre cómo realizar la reserva, además de otras opciones más cercanas al campus</w:t>
      </w:r>
      <w:r w:rsidR="00D52E4D">
        <w:rPr>
          <w:rFonts w:ascii="Garamond" w:hAnsi="Garamond"/>
          <w:sz w:val="24"/>
          <w:szCs w:val="24"/>
        </w:rPr>
        <w:t>.</w:t>
      </w:r>
    </w:p>
    <w:p w14:paraId="6EF01BA6" w14:textId="77777777" w:rsidR="00724C60" w:rsidRDefault="00724C60" w:rsidP="007250E8">
      <w:pPr>
        <w:jc w:val="both"/>
        <w:rPr>
          <w:rFonts w:ascii="Garamond" w:hAnsi="Garamond"/>
          <w:sz w:val="24"/>
          <w:szCs w:val="24"/>
        </w:rPr>
      </w:pPr>
    </w:p>
    <w:p w14:paraId="1FCE86CC" w14:textId="77777777" w:rsidR="007250E8" w:rsidRDefault="007250E8" w:rsidP="002B3136">
      <w:pPr>
        <w:jc w:val="both"/>
        <w:rPr>
          <w:rFonts w:ascii="Garamond" w:hAnsi="Garamond"/>
          <w:sz w:val="24"/>
          <w:szCs w:val="24"/>
        </w:rPr>
      </w:pPr>
    </w:p>
    <w:p w14:paraId="1F6F0773" w14:textId="74C69243" w:rsidR="002B3136" w:rsidRDefault="00EA2945" w:rsidP="00EA2945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Comité organizador.</w:t>
      </w:r>
    </w:p>
    <w:p w14:paraId="4134772A" w14:textId="13CF9C6C" w:rsidR="002B3136" w:rsidRDefault="002B3136" w:rsidP="00EB342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7E64B7EF" w14:textId="77777777" w:rsidR="00EB3426" w:rsidRDefault="00EB3426" w:rsidP="00EB342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40640" distB="54610" distL="109220" distR="132080" simplePos="0" relativeHeight="251662336" behindDoc="0" locked="0" layoutInCell="0" allowOverlap="1" wp14:anchorId="46873F04" wp14:editId="4D8947C1">
                <wp:simplePos x="0" y="0"/>
                <wp:positionH relativeFrom="column">
                  <wp:posOffset>25400</wp:posOffset>
                </wp:positionH>
                <wp:positionV relativeFrom="paragraph">
                  <wp:posOffset>214630</wp:posOffset>
                </wp:positionV>
                <wp:extent cx="2148840" cy="551815"/>
                <wp:effectExtent l="5080" t="5715" r="5080" b="4445"/>
                <wp:wrapSquare wrapText="bothSides"/>
                <wp:docPr id="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5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C7EA3F" w14:textId="77777777" w:rsidR="00EB3426" w:rsidRDefault="00EB3426" w:rsidP="00EB3426">
                            <w:pPr>
                              <w:pStyle w:val="FrameContents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  <w:p w14:paraId="3972410A" w14:textId="77777777" w:rsidR="00EB3426" w:rsidRDefault="00EB3426" w:rsidP="00EB342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46873F04" id="_x0000_s1032" style="position:absolute;margin-left:2pt;margin-top:16.9pt;width:169.2pt;height:43.45pt;z-index:251662336;visibility:visible;mso-wrap-style:square;mso-width-percent:400;mso-height-percent:200;mso-wrap-distance-left:8.6pt;mso-wrap-distance-top:3.2pt;mso-wrap-distance-right:10.4pt;mso-wrap-distance-bottom:4.3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" o:allowincell="f" strokecolor="white">
                <v:textbox style="mso-fit-shape-to-text:t">
                  <w:txbxContent>
                    <w:p w14:paraId="3DC7EA3F" w14:textId="77777777" w:rsidR="00EB3426" w:rsidRDefault="00EB3426" w:rsidP="00EB3426">
                      <w:pPr>
                        <w:pStyle w:val="FrameContents"/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Contacto</w:t>
                      </w:r>
                    </w:p>
                    <w:p w14:paraId="3972410A" w14:textId="77777777" w:rsidR="00EB3426" w:rsidRDefault="00EB3426" w:rsidP="00EB3426">
                      <w:pPr>
                        <w:pStyle w:val="FrameContents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F138D7" w14:textId="77777777" w:rsidR="00EB3426" w:rsidRDefault="00EB3426" w:rsidP="00EB3426">
      <w:pPr>
        <w:spacing w:line="240" w:lineRule="auto"/>
        <w:contextualSpacing/>
        <w:rPr>
          <w:rStyle w:val="Hipervnculo"/>
          <w:rFonts w:ascii="Garamond" w:hAnsi="Garamond"/>
          <w:sz w:val="24"/>
          <w:szCs w:val="24"/>
        </w:rPr>
      </w:pPr>
      <w:hyperlink r:id="rId12">
        <w:r>
          <w:rPr>
            <w:rStyle w:val="Hipervnculo"/>
            <w:rFonts w:ascii="Garamond" w:hAnsi="Garamond"/>
            <w:sz w:val="24"/>
            <w:szCs w:val="24"/>
          </w:rPr>
          <w:t>congresocelpyc@unican.es</w:t>
        </w:r>
      </w:hyperlink>
    </w:p>
    <w:p w14:paraId="591E9B65" w14:textId="77777777" w:rsidR="00EB3426" w:rsidRDefault="00EB3426" w:rsidP="00EB3426">
      <w:pPr>
        <w:spacing w:line="240" w:lineRule="auto"/>
        <w:contextualSpacing/>
        <w:rPr>
          <w:rStyle w:val="Hipervnculo"/>
          <w:rFonts w:ascii="Garamond" w:hAnsi="Garamond"/>
          <w:sz w:val="24"/>
          <w:szCs w:val="24"/>
        </w:rPr>
      </w:pPr>
      <w:r>
        <w:rPr>
          <w:rStyle w:val="Hipervnculo"/>
          <w:rFonts w:ascii="Garamond" w:hAnsi="Garamond"/>
          <w:sz w:val="24"/>
          <w:szCs w:val="24"/>
        </w:rPr>
        <w:t>Departamento de Filología</w:t>
      </w:r>
    </w:p>
    <w:p w14:paraId="063C654F" w14:textId="77777777" w:rsidR="00EB3426" w:rsidRDefault="00EB3426" w:rsidP="00EB3426">
      <w:pPr>
        <w:spacing w:line="240" w:lineRule="auto"/>
        <w:contextualSpacing/>
        <w:rPr>
          <w:rStyle w:val="Hipervnculo"/>
          <w:rFonts w:ascii="Garamond" w:hAnsi="Garamond"/>
          <w:sz w:val="24"/>
          <w:szCs w:val="24"/>
        </w:rPr>
      </w:pPr>
      <w:r>
        <w:rPr>
          <w:rStyle w:val="Hipervnculo"/>
          <w:rFonts w:ascii="Garamond" w:hAnsi="Garamond"/>
          <w:sz w:val="24"/>
          <w:szCs w:val="24"/>
        </w:rPr>
        <w:t>Avda. De los Castros s/n</w:t>
      </w:r>
    </w:p>
    <w:p w14:paraId="56074597" w14:textId="77777777" w:rsidR="00EB3426" w:rsidRDefault="00EB3426" w:rsidP="00EB3426">
      <w:pPr>
        <w:spacing w:line="240" w:lineRule="auto"/>
        <w:contextualSpacing/>
        <w:rPr>
          <w:rStyle w:val="Hipervnculo"/>
          <w:rFonts w:ascii="Garamond" w:hAnsi="Garamond"/>
          <w:sz w:val="24"/>
          <w:szCs w:val="24"/>
        </w:rPr>
      </w:pPr>
      <w:r>
        <w:rPr>
          <w:rStyle w:val="Hipervnculo"/>
          <w:rFonts w:ascii="Garamond" w:hAnsi="Garamond"/>
          <w:sz w:val="24"/>
          <w:szCs w:val="24"/>
        </w:rPr>
        <w:t>39006 Santander</w:t>
      </w:r>
    </w:p>
    <w:p w14:paraId="70058D0A" w14:textId="77777777" w:rsidR="00EB3426" w:rsidRDefault="00EB3426" w:rsidP="00EB3426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2000BB03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>Dirección</w:t>
      </w:r>
    </w:p>
    <w:p w14:paraId="571317AA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Laura Mier Pérez</w:t>
      </w:r>
    </w:p>
    <w:p w14:paraId="127FA9BB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469F1DA9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>Comité organizador</w:t>
      </w:r>
    </w:p>
    <w:p w14:paraId="6141B51C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Mª Dolores Cabrero Rodríguez-Jalón</w:t>
      </w:r>
    </w:p>
    <w:p w14:paraId="30CDCF69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José Antonio Calzón García</w:t>
      </w:r>
    </w:p>
    <w:p w14:paraId="629AB99F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Marta Gancedo Ruiz</w:t>
      </w:r>
    </w:p>
    <w:p w14:paraId="64CFF7BB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Carmen Moral del Hoyo</w:t>
      </w:r>
    </w:p>
    <w:p w14:paraId="195F9B26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Alfredo Moro Martín</w:t>
      </w:r>
    </w:p>
    <w:p w14:paraId="03CFCEF5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564351C9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>Secretaría</w:t>
      </w:r>
    </w:p>
    <w:p w14:paraId="6FA5827B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Mara Cimasoni</w:t>
      </w:r>
    </w:p>
    <w:p w14:paraId="3B8B8931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Jana Herrera González</w:t>
      </w:r>
    </w:p>
    <w:p w14:paraId="731AF4D7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Emma Mangione Robles</w:t>
      </w:r>
    </w:p>
    <w:p w14:paraId="6C2FC65A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Jaime Moreno Carpintero</w:t>
      </w:r>
    </w:p>
    <w:p w14:paraId="7FD95A69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506E67C1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mallCaps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lastRenderedPageBreak/>
        <w:t>Comité científico asesor</w:t>
      </w:r>
    </w:p>
    <w:p w14:paraId="368F2976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Daniele Arciello (Universidad de León)</w:t>
      </w:r>
    </w:p>
    <w:p w14:paraId="2D365F3F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María Ángeles Díez Coronado (Universidad de la Rioja)</w:t>
      </w:r>
    </w:p>
    <w:p w14:paraId="19F0C363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Enrique Fernández (University of Manitoba)</w:t>
      </w:r>
    </w:p>
    <w:p w14:paraId="44847C17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Raquel Gutiérrez Sebastián (Universidad de Cantabria)</w:t>
      </w:r>
    </w:p>
    <w:p w14:paraId="29995101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Nicholas Jones (Yale University)</w:t>
      </w:r>
    </w:p>
    <w:p w14:paraId="79C5543F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Emilio Martínez Mata (Universidad de Oviedo)</w:t>
      </w:r>
    </w:p>
    <w:p w14:paraId="223E00A1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Devid Paolini (Universidad de Siena)</w:t>
      </w:r>
    </w:p>
    <w:p w14:paraId="3FAAF130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Amaranta Saguar García (Investigadora independiente)</w:t>
      </w:r>
    </w:p>
    <w:p w14:paraId="1BF389F8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Javier San José Lera (Universidad de Salamanca)</w:t>
      </w:r>
    </w:p>
    <w:p w14:paraId="6900A62A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Madeline Sutherland-Meier (University of Texas at Austin)</w:t>
      </w:r>
    </w:p>
    <w:p w14:paraId="58F38681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Lucas Torres Armendáriz (Université Rennes-II Haute-Bretagne)</w:t>
      </w:r>
    </w:p>
    <w:p w14:paraId="117BD643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 Vian Herrero (Universidad Complutense de Madrid)</w:t>
      </w:r>
    </w:p>
    <w:p w14:paraId="56D7822F" w14:textId="77777777" w:rsidR="00EB3426" w:rsidRDefault="00EB3426" w:rsidP="00EB3426">
      <w:pPr>
        <w:spacing w:line="240" w:lineRule="auto"/>
        <w:contextualSpacing/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Elisabeth Wright (University of Georgia)</w:t>
      </w:r>
    </w:p>
    <w:p w14:paraId="3D5E8CB0" w14:textId="77777777" w:rsidR="001B51D5" w:rsidRDefault="001B51D5"/>
    <w:sectPr w:rsidR="001B51D5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A9A9" w14:textId="77777777" w:rsidR="00107A45" w:rsidRDefault="00107A45" w:rsidP="001E1D88">
      <w:pPr>
        <w:spacing w:after="0" w:line="240" w:lineRule="auto"/>
      </w:pPr>
      <w:r>
        <w:separator/>
      </w:r>
    </w:p>
  </w:endnote>
  <w:endnote w:type="continuationSeparator" w:id="0">
    <w:p w14:paraId="0ED52837" w14:textId="77777777" w:rsidR="00107A45" w:rsidRDefault="00107A45" w:rsidP="001E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3181" w14:textId="77777777" w:rsidR="0083319F" w:rsidRPr="0083319F" w:rsidRDefault="0083319F" w:rsidP="0083319F">
    <w:pPr>
      <w:widowControl w:val="0"/>
      <w:tabs>
        <w:tab w:val="center" w:pos="4252"/>
        <w:tab w:val="right" w:pos="8504"/>
      </w:tabs>
      <w:spacing w:after="0" w:line="240" w:lineRule="auto"/>
      <w:jc w:val="both"/>
      <w:rPr>
        <w:rFonts w:ascii="Calibri" w:eastAsia="Calibri" w:hAnsi="Calibri" w:cs="Times New Roman"/>
      </w:rPr>
    </w:pPr>
    <w:r w:rsidRPr="0083319F">
      <w:rPr>
        <w:rFonts w:ascii="Calibri" w:eastAsia="Calibri" w:hAnsi="Calibri" w:cs="Times New Roman"/>
        <w:noProof/>
      </w:rPr>
      <w:drawing>
        <wp:inline distT="0" distB="0" distL="0" distR="0" wp14:anchorId="4DD96B0F" wp14:editId="28ED0C85">
          <wp:extent cx="1208276" cy="2761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107" cy="31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19F">
      <w:rPr>
        <w:rFonts w:ascii="Calibri" w:eastAsia="Calibri" w:hAnsi="Calibri" w:cs="Times New Roman"/>
        <w:noProof/>
        <w:lang w:val="en-US"/>
      </w:rPr>
      <w:drawing>
        <wp:inline distT="0" distB="0" distL="0" distR="0" wp14:anchorId="29061DA3" wp14:editId="6AABCF74">
          <wp:extent cx="377190" cy="514350"/>
          <wp:effectExtent l="0" t="0" r="381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19F">
      <w:rPr>
        <w:rFonts w:ascii="Calibri" w:eastAsia="Calibri" w:hAnsi="Calibri" w:cs="Times New Roman"/>
        <w:lang w:val="en-US"/>
      </w:rPr>
      <w:t xml:space="preserve">  </w:t>
    </w:r>
    <w:r w:rsidRPr="0083319F">
      <w:rPr>
        <w:rFonts w:ascii="Calibri" w:eastAsia="Times New Roman" w:hAnsi="Calibri" w:cs="Times New Roman"/>
        <w:noProof/>
        <w:lang w:val="en-US"/>
      </w:rPr>
      <w:drawing>
        <wp:inline distT="0" distB="0" distL="0" distR="0" wp14:anchorId="5C427BCA" wp14:editId="7D93EEBD">
          <wp:extent cx="654050" cy="628209"/>
          <wp:effectExtent l="0" t="0" r="0" b="63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77" cy="63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19F">
      <w:rPr>
        <w:rFonts w:ascii="Calibri" w:eastAsia="Calibri" w:hAnsi="Calibri" w:cs="Times New Roman"/>
        <w:lang w:val="en-US"/>
      </w:rPr>
      <w:t xml:space="preserve">   </w:t>
    </w:r>
    <w:r w:rsidRPr="0083319F">
      <w:rPr>
        <w:rFonts w:ascii="Calibri" w:eastAsia="Calibri" w:hAnsi="Calibri" w:cs="Times New Roman"/>
        <w:noProof/>
        <w:lang w:val="en-US"/>
      </w:rPr>
      <w:drawing>
        <wp:inline distT="0" distB="0" distL="0" distR="0" wp14:anchorId="2F3ABA41" wp14:editId="7B08112C">
          <wp:extent cx="685800" cy="339320"/>
          <wp:effectExtent l="0" t="0" r="0" b="381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17" cy="347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19F">
      <w:rPr>
        <w:rFonts w:ascii="Calibri" w:eastAsia="Calibri" w:hAnsi="Calibri" w:cs="Times New Roman"/>
        <w:lang w:val="en-US"/>
      </w:rPr>
      <w:t xml:space="preserve">   </w:t>
    </w:r>
    <w:r w:rsidRPr="0083319F">
      <w:rPr>
        <w:rFonts w:ascii="Calibri" w:eastAsia="Calibri" w:hAnsi="Calibri" w:cs="Times New Roman"/>
        <w:noProof/>
        <w:lang w:val="en-US"/>
      </w:rPr>
      <w:drawing>
        <wp:inline distT="0" distB="0" distL="0" distR="0" wp14:anchorId="7F87C2B6" wp14:editId="1645B888">
          <wp:extent cx="508000" cy="508000"/>
          <wp:effectExtent l="0" t="0" r="6350" b="635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19F">
      <w:rPr>
        <w:rFonts w:ascii="Calibri" w:eastAsia="Calibri" w:hAnsi="Calibri" w:cs="Times New Roman"/>
        <w:lang w:val="en-US"/>
      </w:rPr>
      <w:tab/>
    </w:r>
    <w:r w:rsidRPr="0083319F">
      <w:rPr>
        <w:rFonts w:ascii="Calibri" w:eastAsia="Calibri" w:hAnsi="Calibri" w:cs="Times New Roman"/>
        <w:noProof/>
        <w:lang w:val="en-US"/>
      </w:rPr>
      <w:drawing>
        <wp:inline distT="0" distB="0" distL="0" distR="0" wp14:anchorId="0BC4E8FD" wp14:editId="1C2AF280">
          <wp:extent cx="692150" cy="202580"/>
          <wp:effectExtent l="0" t="0" r="0" b="698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35" cy="20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19F">
      <w:rPr>
        <w:rFonts w:ascii="Calibri" w:eastAsia="Calibri" w:hAnsi="Calibri" w:cs="Times New Roman"/>
        <w:lang w:val="en-US"/>
      </w:rPr>
      <w:t xml:space="preserve">    </w:t>
    </w:r>
    <w:r w:rsidRPr="0083319F">
      <w:rPr>
        <w:rFonts w:ascii="Calibri" w:eastAsia="Calibri" w:hAnsi="Calibri" w:cs="Times New Roman"/>
        <w:noProof/>
        <w:lang w:val="en-US"/>
      </w:rPr>
      <w:drawing>
        <wp:inline distT="0" distB="0" distL="0" distR="0" wp14:anchorId="36A5E201" wp14:editId="14DC2179">
          <wp:extent cx="806450" cy="240015"/>
          <wp:effectExtent l="0" t="0" r="0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18" cy="25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740466" w14:textId="77777777" w:rsidR="0083319F" w:rsidRPr="0083319F" w:rsidRDefault="0083319F" w:rsidP="0083319F">
    <w:pPr>
      <w:widowControl w:val="0"/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lang w:val="en-US"/>
      </w:rPr>
    </w:pPr>
  </w:p>
  <w:p w14:paraId="09A2A544" w14:textId="77777777" w:rsidR="001E1D88" w:rsidRDefault="001E1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C240" w14:textId="77777777" w:rsidR="00107A45" w:rsidRDefault="00107A45" w:rsidP="001E1D88">
      <w:pPr>
        <w:spacing w:after="0" w:line="240" w:lineRule="auto"/>
      </w:pPr>
      <w:r>
        <w:separator/>
      </w:r>
    </w:p>
  </w:footnote>
  <w:footnote w:type="continuationSeparator" w:id="0">
    <w:p w14:paraId="27BC017B" w14:textId="77777777" w:rsidR="00107A45" w:rsidRDefault="00107A45" w:rsidP="001E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CD2" w14:textId="6ACF6AE2" w:rsidR="00A77C20" w:rsidRDefault="00A77C20" w:rsidP="00A77C2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CA99A52" wp14:editId="5A14AE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403415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3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08FAA8" wp14:editId="4984ED1A">
          <wp:extent cx="2480972" cy="64452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07" cy="657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tab/>
    </w:r>
    <w:r>
      <w:rPr>
        <w:noProof/>
      </w:rPr>
      <w:drawing>
        <wp:inline distT="0" distB="0" distL="0" distR="0" wp14:anchorId="0B88D1C5" wp14:editId="1AE42572">
          <wp:extent cx="1911350" cy="72729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00" cy="743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FB85DE" w14:textId="7576D4D2" w:rsidR="001E1D88" w:rsidRDefault="001E1D88">
    <w:pPr>
      <w:pStyle w:val="Encabezado"/>
    </w:pPr>
  </w:p>
  <w:p w14:paraId="78BF58CB" w14:textId="77777777" w:rsidR="001E1D88" w:rsidRDefault="001E1D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4E"/>
    <w:rsid w:val="00012A4E"/>
    <w:rsid w:val="00055B1D"/>
    <w:rsid w:val="000E3FCD"/>
    <w:rsid w:val="00107A45"/>
    <w:rsid w:val="001B51D5"/>
    <w:rsid w:val="001E1D88"/>
    <w:rsid w:val="001E270C"/>
    <w:rsid w:val="001E6E01"/>
    <w:rsid w:val="002B3136"/>
    <w:rsid w:val="002F7695"/>
    <w:rsid w:val="0030759F"/>
    <w:rsid w:val="00402FBC"/>
    <w:rsid w:val="006359E2"/>
    <w:rsid w:val="006804D2"/>
    <w:rsid w:val="006C5023"/>
    <w:rsid w:val="00724C60"/>
    <w:rsid w:val="007250E8"/>
    <w:rsid w:val="00806B3F"/>
    <w:rsid w:val="0083319F"/>
    <w:rsid w:val="008C4988"/>
    <w:rsid w:val="008C4E31"/>
    <w:rsid w:val="008D1FE7"/>
    <w:rsid w:val="00992FDF"/>
    <w:rsid w:val="009D3718"/>
    <w:rsid w:val="00A77286"/>
    <w:rsid w:val="00A77C20"/>
    <w:rsid w:val="00AB2630"/>
    <w:rsid w:val="00B432BB"/>
    <w:rsid w:val="00B823FA"/>
    <w:rsid w:val="00C34989"/>
    <w:rsid w:val="00D52E4D"/>
    <w:rsid w:val="00DD2652"/>
    <w:rsid w:val="00DE0A28"/>
    <w:rsid w:val="00DE2C15"/>
    <w:rsid w:val="00EA2945"/>
    <w:rsid w:val="00EB3426"/>
    <w:rsid w:val="00EC13A6"/>
    <w:rsid w:val="00F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92D2B"/>
  <w15:chartTrackingRefBased/>
  <w15:docId w15:val="{AC2D4A55-E13A-4F94-9E04-3F86DD5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A77286"/>
    <w:pPr>
      <w:widowControl w:val="0"/>
      <w:spacing w:before="40" w:after="0" w:line="240" w:lineRule="auto"/>
      <w:ind w:left="418"/>
      <w:outlineLvl w:val="0"/>
    </w:pPr>
    <w:rPr>
      <w:rFonts w:ascii="Century Schoolbook" w:eastAsia="Century Schoolbook" w:hAnsi="Century Schoolbook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D88"/>
  </w:style>
  <w:style w:type="paragraph" w:styleId="Piedepgina">
    <w:name w:val="footer"/>
    <w:basedOn w:val="Normal"/>
    <w:link w:val="PiedepginaCar"/>
    <w:uiPriority w:val="99"/>
    <w:unhideWhenUsed/>
    <w:rsid w:val="001E1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D88"/>
  </w:style>
  <w:style w:type="character" w:styleId="Hipervnculo">
    <w:name w:val="Hyperlink"/>
    <w:basedOn w:val="Fuentedeprrafopredeter"/>
    <w:uiPriority w:val="99"/>
    <w:unhideWhenUsed/>
    <w:rsid w:val="00EB3426"/>
    <w:rPr>
      <w:color w:val="0563C1" w:themeColor="hyperlink"/>
      <w:u w:val="single"/>
    </w:rPr>
  </w:style>
  <w:style w:type="paragraph" w:customStyle="1" w:styleId="FrameContents">
    <w:name w:val="Frame Contents"/>
    <w:basedOn w:val="Normal"/>
    <w:qFormat/>
    <w:rsid w:val="00EB3426"/>
    <w:pPr>
      <w:suppressAutoHyphens/>
    </w:pPr>
  </w:style>
  <w:style w:type="character" w:customStyle="1" w:styleId="Ttulo1Car">
    <w:name w:val="Título 1 Car"/>
    <w:basedOn w:val="Fuentedeprrafopredeter"/>
    <w:link w:val="Ttulo1"/>
    <w:uiPriority w:val="1"/>
    <w:rsid w:val="00A77286"/>
    <w:rPr>
      <w:rFonts w:ascii="Century Schoolbook" w:eastAsia="Century Schoolbook" w:hAnsi="Century Schoolbook"/>
      <w:b/>
      <w:bCs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D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celpyc@unican.e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ltq.com/jfic/CONCELPYC-25.html%20y" TargetMode="External"/><Relationship Id="rId12" Type="http://schemas.openxmlformats.org/officeDocument/2006/relationships/hyperlink" Target="mailto:congresocelpyc@unican.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iicongresocelpyc.unican.es/concurso-literario/" TargetMode="External"/><Relationship Id="rId11" Type="http://schemas.openxmlformats.org/officeDocument/2006/relationships/hyperlink" Target="https://iiicongresocelpyc.unican.es/como-llega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n0E4LT38kU220-s3SAyP5O3HCgB6gh5PvtdDV3hvYMNUOU1JUEtFQ1BQOVNUWEk2UDZCSFJHUkc4Vi4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office.com/Pages/ResponsePage.aspx?id=n0E4LT38kU220-s3SAyP5O3HCgB6gh5PvtdDV3hvYMNUOU1JUEtFQ1BQOVNUWEk2UDZCSFJHUkc4Vi4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jpeg"/><Relationship Id="rId7" Type="http://schemas.openxmlformats.org/officeDocument/2006/relationships/image" Target="media/image9.jpeg"/><Relationship Id="rId2" Type="http://schemas.openxmlformats.org/officeDocument/2006/relationships/image" Target="media/image5.gif"/><Relationship Id="rId1" Type="http://schemas.openxmlformats.org/officeDocument/2006/relationships/image" Target="media/image4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cid:1dc03b05-98a3-45c5-9891-9e5cb51cf44b@eurprd05.prod.outloo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693</Words>
  <Characters>3817</Characters>
  <Application>Microsoft Office Word</Application>
  <DocSecurity>0</DocSecurity>
  <Lines>31</Lines>
  <Paragraphs>9</Paragraphs>
  <ScaleCrop>false</ScaleCrop>
  <Company>Universidad de Cantabria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 Perez, Laura</dc:creator>
  <cp:keywords/>
  <dc:description/>
  <cp:lastModifiedBy>Mier Perez, Laura</cp:lastModifiedBy>
  <cp:revision>36</cp:revision>
  <dcterms:created xsi:type="dcterms:W3CDTF">2025-03-19T08:01:00Z</dcterms:created>
  <dcterms:modified xsi:type="dcterms:W3CDTF">2025-03-19T08:42:00Z</dcterms:modified>
</cp:coreProperties>
</file>